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15 декабря 2020 года, согласно оттиску почтового штампа на конверте, заявитель направил в Верховный Суд Российской Федерации кассационную жалобу на определение Арбитражного суда города Москвы от 13.12.2019, постановление Девятого арбитражного апелляционного суда от 03.07.2020 и постановление Арбитражного суда Московского округа от 13.10.2020 по делу № А40-193502/2018. Согласно части 1 статьи 291.2 Арбитражного процессуального кодекса Российской Федерации кассационная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13.10.2020, на момент обращения заявителя срок, установленный статьёй 291.2 Арбитражного процессуального кодекса Российской Федерации, истёк. Мартыновой Е.И. заявлено ходатайство о восстановлении пропущенного процессуального срока. 2 В качестве причины пропуска срока заявитель ссылается на позднюю публикацию обжалуемого постановления суда округа. Как следует из информации, размещённой на официальном сайте арбитражных судов (www.arbitr.ru) и как указывает сам заявитель, постановление Арбитражного суда Московского округа от 13.10.2020 было опубликовано в общедоступной базе судебных актов в отведённый срок – 14.10.2020, то есть без какой-либо задержки. При этом из обжалуемого судебного акта суда округа усматривается, что инициатором кассационного обжалования судебных актов являлся сам заявитель, представитель которого принимал участие в судебном заседании суда округа, а также в данном судебном акте надлежащим образом разъяснён срок и порядок обжалования. Таким образом, заявитель доподлинно знал о состоявшихся судебных актах, а также о порядке и сроке их обжалования 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Мартынова Е.И., как лицо, участвующее в деле, несёт риск наступления последствий несовершения ей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Названная заявителем причина не носит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статьей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Мартыновой Евгении Ивановны о восстановлении пропущенного процессуального срока отказать. Кассационную жалобу индивидуального предпринимателя Мартыновой Евгении Ивановны на определение Арбитражного суда города Москвы от 13.12.2019, постановление Девятого арбитражного апелляционного суда от 03.07.2020 и постановление Арбитражного суда Московского округа от 13.10.2020 по делу № А40-193502/2018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