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18.03.2020, оставленным без изменения постановлениями Одиннадцатого арбитражного апелляционного суда от 25.06.2020 и Арбитражного суда Поволжского округа от 03.09.2020, завершена процедура реализации имущества должника, Наумов Г.И. освобождён от дальнейшего исполнения требований кредиторов, в том числе требований кредиторов, не заявленных при реализации имущества гражданина. В кассационной жалобе, поданной в Верховный Суд Российской Федерации, заявитель просит разрешить вопрос о распределении пенсии между кредиторами.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Завершая конкурное производство,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213.27, 213.28 и 213.30 Федерального закона от 26.10.2002 № 127-ФЗ «О несостоятельности (банкротстве)», установив отсутствие у должника имущества, подлежащего реализации, пришел к выводу о том, что все необходимые мероприятия, предусмотренные процедурой реализации имущества, выполнены в полном объёме. Суды апелляционной инстанции и округа поддержали выводы суда первой инстанции, отклонив возражения заявителя о преждевременности завершения процедуры реализации имущества и указав на отсутствие надлежащих доказательств, подтверждавших реальную возможность пополнения конкурной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Сергееву Юрию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