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Красноярского края от 16.06.2020, оставленным без изменения постановлениями Третьего арбитражного апелляционного суда от 11.08.2020 и Арбитражного суда Восточно-Сибирского округа от 13.10.2020, завершена процедура реализации имущества должника, в отношении Каменщикова А.С. не применены правила об освобождении от исполнения обязательств. В кассационной жалобе, поданной в Верховный Суд Российской Федерации, заявитель просит изменить указанные судебные акты в части, применить к должнику правило об освобождении от исполнения обязательств.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применении правила об освобождении от исполнения обязательств,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статьи 213.28 Федерального закона от 26.10.2002 № 127-ФЗ «О несостоятельности (банкротстве)», исходил из того, что поведение Каменщикова А.С., выразившееся в неисполнении указаний суда о предоставлении информации и уклонении от передачи материальных и иных ценностей финансовому управляющему, не отвечает критерию добросовестности и не может быть признано правомерным, указав, что данные недобросовестные действия (бездействие) должника привели к невозможности погашения требований кредитора.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Каменщикову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