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недействительной сделки по оплате должником денежных средств в размере 1 944 000 рублей за автомобиль Мерседес-Бенц, гос. номер С064АВ64, 2014 года выпуска, приобретенный Чирковой Натальей Викторовной по договору от 26.08.2014 № Л-250 и взыскании с Чирковой Н.В. в пользу должника денежных средств в размере 1 944 000 рублей и суммы процентов за пользование чужими денежными средствами. Определением Арбитражного суда Саратовской области от 20.03.2020, оставленным без изменения постановлениями Двенадцатого арбитражного апелляционного суда от 04.06.2020 и Арбитражного суда Поволжского округа от 03.09.2020,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168 Гражданского кодекса Российской Федерации, пункта 2 статьи 61.2 Федерального закона от 26.10.2002 № 127-ФЗ «О несостоятельности (банкротстве)», исходили из недоказанности совокупности условий для признания сделки недействительной по общим и специальным основаниям законодательства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«Энгельская промышленная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