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заявлением о включении в реестр требований кредиторов должника требования в размере 17 811 001 рубля 33 копеек недоимки, 163 рублей 06 копеек пени, 5 508 рублей штрафа. Определением Арбитражного суда Омской области от 08.07.2020, оставленным без изменения постановлением Восьмого арбитражного апелляционного суда от 11.08.2020 и постановлением Арбитражного суда Западно-Сибирского округа от 01.10.2020, по ходатайству уполномоченного органа приостановлено производство по рассмотрению его требования до вступления в законную силу решения налогового органа по результатам проведения в отношении должника выездной налоговой проверки за 2018 год.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Омской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Приостанавливая производство по рассмотрению требований уполномоченного органа,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143 Арбитражного процессуального кодекса Российской Федерации, исходил из наличия объективных препятствий, связанных с проведением мероприятий налогового контроля.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«Омскспецэнергомонтаж» Багаутдиновой Айнур Рашитовне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