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Кратько Олег Анатольевич обратился в суд с заявлением о признании недействительными договоров займа, заключённых между должником и Наумчиковым Н.В. Определением Арбитражного суда Омской области от 13.12.2019, оставленным без изменения постановлением Восьмого арбитражного апелляционного суда от 11.06.2020, в удовлетворении заявления отказано. Постановлением Арбитражного суда Западно-Сибирского округа от 02.09.2020 указанные судебные акты отменены, обособленный спор направлен на новое рассмотрение в Арбитражный суд Омской области. В кассационной жалобе, поданной в Верховный Суд Российской Федерации, заявитель просит отменить постановление суда округа, не передавая дело на новое рассмотрение принять по нему новый судебный акт об отказе в удовлетворении требований финансового управляющего.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оснований не установлено. Отменяя принятые по делу судебные акты и направляя обособленный спор на новое рассмотрение, суд округа, применительно к положениям статьи 170 Гражданского кодекса Российской Федерации, исходил из того, что изложенные в них выводы о действительности оспариваемых сделок преждевременны, поскольку основаны на неполном выяснении обстоятельств, имеющих существенное значение для правильного разрешения настоящего спора.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Наумчикову Николаю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