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Аль Ирьяни Дориана Семёновна (далее – кредитор) обратилась в суд с заявлением о включении в реестр требований кредиторов должника (далее – реестр) её требований в размере 4 487 451 рубля 26 копеек. Определением Арбитражного суда Тюменской области от 12.03.2020 в удовлетворении заявления отказано. Постановлением Восьмого арбитражного апелляционного суда от 03.07.2020 вышеуказанное определение отменено в части отказа во включении требования кредитора в реестр в размере 1 727 451 рубля 26 копеек. В отменённой части принят новый судебный акт о восстановлении кредитору срока на предъявление требований в реестр, включение её требования в размере 1 727 451 рубля 26 копеек в третью очередь реестра. В остальной части определение суда первой инстанции от 12.03.2020 оставлено без изменения. Постановлением Арбитражного суда Западно-Сибирского округа от 16.09.2020 названное постановление апелляционного суда изменено. Требование кредитора в размере 1 727 451 рубля 26 копеек включено в реестр как обеспеченное залогом имущества должника по ипотечному займу в рамках кредитного договора от 27.12.2014 № 623/1115-000351. В остальной части 2 определение суда первой инстанции от 12.03.2020 и постановление апелляционного суда от 03.07.2020 оставлены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апелляционный суд руководствовался статьями 313, 807, 808 Гражданского кодекса Российской Федерации, статьями 100, 142, 213.4, 213.9, 213.24 Федерального закона от 26.10.2002 № 127-ФЗ «О несостоятельности (банкротстве)», и исходил из обоснованности той части требования кредитора, которая подтверждена документально, непосредственно связана с погашением за должника его обязательств по ипотечному займу реально заимствованными кредитными средствами в целях недопущения обращения взыскания на находящееся у банка в залоге единственное жильё должника и его супруги, восстановив срок на подачу заявления ввиду уважительности причин его пропуска. Изменяя постановление апелляционного суда, окружной суд пришёл к выводу о том, что исполнение за счёт средств кредитора обязательств должника перед банком повлекло переход к ней прав по обеспеченному залогом обязательству в соответствии с положениями пункта 5 статьи 313, статьи 387 Гражданского кодекса Российской Федерации.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Кропоткина Сергея Анатольевича Сазонову Илье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