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арбитражный управляющий Герус Г.Н. обратился в суд с заявлением о взыскании с должника 410 258 рублей 30 копеек, из них 221 285 рублей 71 копейка – вознаграждение, 188 972 рублей 59 копеек – расходы на осуществление процедуры конкурсного производства. Определением Арбитражного суда Республики Марий Эл от 19.02.2020, оставленным без изменения постановлениями Первого арбитражного апелляционного суда от 23.06.2020 и Арбитражного суда Волго-Вятского округа от 14.09.2020, заявление удовлетворено в части взыскания с должника в пользу заявителя 38 972 рублей 59 копеек расходов по делу о банкротстве и 10 000 рублей вознаграждения;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в части отказа в удовлетворении остальной части требований, взыскать с должника в его пользу 371 285 рублей 71 копейку.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20.6, 59, 129, 130 Федерального закона от 26.10.2002 № 127-ФЗ «О несостоятельности (банкротстве)», пунктами 3, 5, 7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пришли к выводам о необходимости снижения размера причитающихся заявителю вознаграждения ввиду ненадлежащего исполнения им обязанностей конкурсного управляющего должником, а также отсутствия оснований для возмещения расходов на оценку, проведённую неуполномоченным специалистом и ненадлежащим образом.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Герусу Геннадию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