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26.08.2019, оставленным без изменения постановлением Девятого арбитражного апелляционного суда 2 от 16.12.2019, иск удовлетворен частично, государственный контракт расторгнут, с ответчика в пользу истца взыскано 9 508 915, 80 рублей неосновательного обогащения, в удовлетворении остальной части иска отказано. Постановлением Арбитражного суда Московского округа от 08.09.2020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статьями 309, 310, 450, 453, 1102 Гражданского кодекса Российской Федерации,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признали доказанным существенное нарушение условий контракта, установив факт нарушения обществом (исполнителем) срока выполнения работ и некачественность их результатов. Доводы кассационной жалобы были предметом исследования судов и получили исчерпывающую правовую оценку с учетом анализа условий контракта и представленных доказательств,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