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Фомина Т.С. обратилась в Арбитражный суд Саратовской области с заявлением к начальнику Главного управления Министерства внутренних дел Российской Федерации по Саратовской области о ликвидации загрязнений, объектов, восстановлении сведений, восполнении ущерба, выплате труда. Арбитражный суд Саратовской области определением от 07.07.2020, оставленным без изменения постановлением Двенадцатого арбитражного апелляционного суда от 06.08.2020 и постановлением Арбитражного суда Поволжского округа от 23.09.2020, возвратил заявление Фоминой Т.С. на основании пункта 1 части 1 статьи 129 Арбитражного процессуального кодекса Российской Федерации. В кассационной жалобе, поданной в Верховный Суд Российской Федерации, Фомина Т.С.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заявление Фоминой Т.С., суд первой инстанции, руководствуясь статьями 27, 28, 30, 129 Арбитражного процессуального кодекса Российской Федерации, учитывая предмет и субъектный состав участников спора, исходил из того, что заявленное требование не относится к компетенции арбитражного суда. Суды апелляционной инстанции и округа согласились с выводом суда первой инстанции. Доводы кассационной жалобы выводы судов не опровергают,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Фоминой Татьяны Сергеевны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