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24.01.2020, оставленным без изменения постановлением Девятого арбитражного апелляционного суда от 25.06.2020, иск удовлетворен. Арбитражный суд Московского округа постановлением от 16.09.2020 решение от 24.01.2020 и постановление Девятого арбитражного апелляционного суда от 25.06.2020 оставил без изменения. В кассационной жалобе компания просит об отмене судебных актов, ссылаясь на неизвещение ответчика о судебном разбирательстве и рассмотрение спора исходя из ненадлежащих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и окружной суды установили совершение судом первой инстанции действий, доступных в силу международных и внутригосударственных правовых установлений, для извещения компании о начавшемся процессе. Указанное обстоятельство и участие представителя компании в разбирательстве дела в апелляционном суде, повторно рассмотревшем дело, не позволяет прийти к выводу о нарушении права ответчика на судебную защиту. Суды установили наличие задолженности компании по кредитному договору, процентам и обязанность по уплате неустойки, разрешив спор в соответствии со статьями 809, 811, 819 Гражданского кодекса Российской Федерации. Вопросы доказывания и оценки доказательств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компании Delvenisto Investments Ltd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