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07.08.2019 в иске отказано. Постановлением Двенадцатого арбитражного апелляционного суда от 05.02.2020 решение суда первой инстанции оставлено без изменения. Определением Арбитражного суда Центрального округа от 09.07.2020 кассационная жалоба возвращена обществу в связи с пропуском срока на ее подачу и отказом в удовлетворении ходатайства о его восстановлении. Определением Арбитражного суда Центрального округа от 07.09.2020 указанное определение суда округа оставлено без изменения. Общество обратилось в Верховный Суд Российской Федерации с кассационной жалобой, в которой просит судебные акты суда округа отменить, ссылаясь на допущенные существенные нарушения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Приводимые заявителем причины несвоевременного обращения в суд с кассационной жалобой были рассмотрены судом и не признаны уважительными. Выводы суда не противоречат правовой позиции, изложенной в Обзоре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коронавирусной инфекции (COVID-19) № 1, утвержденном Президиумом Верховного Суда Российской Федерации 21.04.2020 (вопросы 2 и 4), постановлении Пленума Высшего Арбитражного Суда Российской Федерации от 25.12.2013 № 99 «О процессуальных сроках» (пункты 32, 34). При этом суд не установил объективной невозможности подачи кассационной жалобы в установленный законом срок исключительно 3 вследствие установленных ограничений и мер по противодействию распространению на территории Российской Федерации новой коронавирусной инфекции. В отсутствие доказательств, свидетельствующих о том, что заявитель был лишен возможности реализовать право на подачу жалобы путем направления ее через сервис электронной подачи документов «Мой арбитр», оснований для иных выводов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