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17.04.2020, оставленным без изменения постановлениями Пятнадцатого арбитражного апелляционного суда от 02.07.2020 и Арбитражного суда Северо-Кавказского округа от 22.09.2020, в удовлетворении исковых требований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норм процессуального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предпринимателем (поставщик) и учреждением (заказчик) заключен государственный контракт на поставку сплит-систем от 19.03.2019 № 0318100009619000015-0129977-01 (далее – контракт). В обоснование иска предприниматель указывает на то, что его представителям отказано в допуске к монтажу поставленного оборудования, товар изъят и отправлен на ответственное хранение, а обязанность по оплате товара заказчиком не исполнена. Оценив представленные в материалы дела доказательства, суды, руководствуясь положениями статей 309, 310, 518, 525, 721-724, 755, 763, 768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исковых требований. Судебные инстанции исходили из поставки предпринимателем товара не соответствующего условиям контракта, при этом несоответствия выявлены в пределах гарантийного срока, о возврате товара не заявлено.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заявителя по существу направлены на несогласие с выводами судов и переоценку установленных фактических обстоятельств по делу,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Юдиной Ольге Виталиевне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