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28.01.2020, оставленным без изменения постановлением Пятого арбитражного апелляционного суда от 02.06.2020, штраф уменьшен и взыскан в размере 466 984 рублей. Арбитражный суд Дальневосточного округа постановлением от 10.09.2020 решение от 28.01.2020 и постановление Пятого арбитражного апелляционного суда от 02.06.2020 оставил без изменения. В кассационной жалобе компания просит об отмене судебных актов, ссылаясь на недобросовестность истца при установлении недостоверности сведений, указанных в международной накладной первоначальным грузоотправителем.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Судебными инстанциями не установлено недобросовестного поведения перевозчика. Расхождение в наименовании указанного в железнодорожной накладной и фактически перевозимого груза установлено судами на основании представленных доказательств, включающих акт общей формы от 24.05.2019 № 6/773 и коммерческий акт от 24.05.2019 № СЕВ1901943/407, принятых судами в качестве основания для применения к компании, в чьи обязанности как грузоотправителя на территории Российской Федерации входит предоставление достоверной информации о грузе, предусмотренной статьей 98 Федерального закона от 10.01.2003 № 18-ФЗ «Устав железнодорожного транспорта Российской Федерации» ответственности.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«Пограничная транспортно-экспедиционная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