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17.02.2020 заявленное требование удовлетворено. 2 Постановлением Седьмого арбитражного апелляционного суда от 01.06.2020 решение суда первой инстанции отменено, в удовлетворении заявленного требования отказано. Постановлением Арбитражного суда Западно-Сибирского округа от 04.09.2020 постановление суда апелляционной инстанции оставлено без изменения. Общество просит отменить обжалуемые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Суд апелляционной инстанции, отменяя решение суда первой инстанции и отказывая в удовлетворении требования, руководствовался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и исходил из установленных обстоятельств, свидетельствующих о наличии недобросовестных действий страхователя, направленных на формальное создание условий для получения средств для выплаты страхового возмещения пособий по обязательному социальному страхованию на случай временной нетрудоспособности и в связи с материнством. Суд округа согласился с выводами суда апелляционной инстанции. Доводы кассационной жалобы были предметом исследования судов и получили исчерпывающую правовую оценку применительно к обстоятельствам выполнения работником трудовых функций,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3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