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18.12.2020 направил в Верховный Суд Российской Федерации кассационную жалобу и одновременно заявил ходатайство о восстановлении пропущенного срока. Пропуск срока на подачу жалобы заявитель считает обусловленным переводом работников на удаленный режим работы в связи с распространением коронавирусной инфекции, что вызвало сложность с подготовкой кассационной жалобы в Верховный Суд Российской Федерации в установленный срок. Согласно части 2 статьи 291.2 Арбитражного процессуального кодекса Российской Федерации срок подачи кассационной жалобы, пропущенный по причинам, не зависящим от лица, обратившегося с такой жалобой, по 2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Рассмотрев ходатайство о восстановлении срока, оснований для его удовлетворения не установлено. Заявитель обратился в суд посредством заполнения формы, размещенной на официальном сайте суда в информационно-телекоммуникационной сети «Интернет», с приложением автоматизированных копий судебных актов. Доказательств, свидетельствующих о том, что заявителем осуществлялись какие-либо своевременные действия по подготовке кассационной жалобы, но он столкнулся с объективными препятствиями, суду не представлено. При этом по общему правилу внутренние организационные проблемы юридического лица, обратившегося с кассационной жалобой, не являются причинами, не зависящими от лица, обратившегося с такой жалобой, и не могут рассматриваться в качестве уважительных причин пропуска срока. Иных причин, объективно препятствовавших заявителю своевременно обжаловать судебные акты, не приведено. Лица, участвующие в деле, несут риск наступления последствий совершения или несовершения ими процессуальных действий (статья 9 Арбитражного процессуального кодекса Российской Федерации). Восстановление пропущенного срока на подачу кассационной жалобы в отсутствие уважительных причин пропуска такого срока в нарушение статьи 8 Кодекса ставит одну из сторон в преимущественное положение. При таких обстоятельствах ходатайство о восстановлении пропущенного процессуального срока подлежит оставлению без удовлетворения, а кассационная жалоба - возвращению заявителю. Руководствуясь статьями 117, 184, 291.2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Государственного бюджетного учреждения города Москвы «Московские ярмарки» о восстановлении пропущенного срока отказать, кассационную жалобу возвратить заявителю. Судья Верховного Суда А.Г. 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