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17.12.2020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При обжаловании судебного акта надлежащее оформление и подача жалобы возложены на заинтересованное лицо, которое несет последствия несовершения положенных действий в срок. Объективных причин, которые бы помешали обратиться 10.11.2020 с первоначальной кассационной жалобой в соответствии с установленным порядком подачи документов в электронном виде в Верховный Суд Российской Федерации, заявитель не приводит. Обстоятельств, препятствующих заявителю обратиться в Верховный Суд Российской Федерации с кассационной жалобой в разумный срок в период с 13.11.2020 (момент отклонения системой «Мой Арбитр» поданных в Верховный Суд Российской Федерации документов, когда заявителю в личный кабинет пришло сообщение о нарушении правил их подачи) в установленном процессуальном законодательством порядке, в настоящем ходатайстве не приведено.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Комитета по контролю за имуществом Санкт-Петербурга о восстановлении пропущенного срока отказать, кассационную жалобу возвратить заявителю. Судья Верховного Суда А.Г. Першутов Российской Федерации Суд: Верховный Суд РФ (подробнее) Истцы: ИП Богданова Марина Геннадьевна (подробнее) Ответчики: Комитет по контролю за имуществом Санкт-Петербурга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