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16.12.2020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Первоначальное обращение с кассационной жалобой за пределами двухмесячного срока в отсутствие ходатайства о восстановлении срока само по себе не может свидетельствовать об уважительности причин пропуска срока на подачу кассационной жалобы. Приведенные в ходатайстве доводы об отсутствии возможности своевременной оплаты государственной пошлины, сами по себе не свидетельствуют о невозможности своевременно обратиться с кассационной жалобой при наличии в процессуальном законодательстве института отсрочки уплаты (освобождения от уплаты) государственной пошлины при наличии подтверждающих документов.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отсутствие доказательств, свидетельствующих о наличии объективных препятствий для обращения с жалобой в порядке, установленном законодательством, ходатайство о восстановлении пропущенного процессуального срока удовлетворению не подлежит.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бюджетного учреждения здравоохранения «Бюро судебно-медицинской экспертизы» о восстановлении пропущенного срока отказать, кассационную жалобу возвратить заявителю. Судья Верховного Суда А.Г. Першутов Российской Федерации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