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19.03.2020, оставленным без изменения постановлениями Пятнадцатого арбитражного апелляционного суда от 05.06.2020 и Арбитражного суда Северо-Кавказского округа от 10.09.2020,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доначисления 9 396 983 рублей налога на прибыль, начисления соответствующих сумм пеней и штрафа послужили выводы управления о необоснованном включении обществом в состав затрат расходов, понесенных в рамках научно-исследовательских и опытно-конструкторских работ (НИОКР), в целях налогообложения прибыли. Оценив представленные доказательства по правилам главы 7 Арбитражного процессуального кодекса Российской Федерации, руководствуясь положениями пункта 1 статьи 247, пункта 1 статьи 252, подпункта 3 пункта 2 статьи 253 , пункта 1 статьи 256 , пункта 3 статьи 257 , пункта 5 статьи 262 Налогового кодекса Российской Федерации, правовой позицией, изложенной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суды пришли к выводу о доказанности налоговым органом совокупности обстоятельств, свидетельствующих о получение обществом необоснованной налоговой выгоды. Судебные инстанции исходили из необходимости учета стоимости выполненных по договору на разработку НИОКР работ по модернизации средств измерений как расходов у собственника модернизируемого объекта, имеющего на балансе данный объект, которым налогоплательщик не является. При исследовании обстоятельств дела установлено, что общество документально не подтвердило спорные затраты в целях налогообложения прибыли; основные производственные показатели в декларациях по налогу на прибыль свидетельствуют о значительном ухудшении результатов финансово- хозяйственной деятельности организации вопреки пояснениям налогоплательщика; спорные работы выполнялись взаимозависимым лицом. С учетом изложенного приведенные обществом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Несогласие налогоплательщика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научно-производственное предприятие «Турбулентность-Дон»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НАУЧНО-ПРОИЗВОДСТВЕННОЕ ПРЕДПРИЯТИЕ "ТУРБУЛЕНТНОСТЬ-ДОН" (подробнее) ООО НПП "Турбулентность-ДОН" (подробнее) Ответчики: Управление Федеральной налоговой службы России по Ростовской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