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12.11.2019, оставленным без изменения постановлением Четвертого арбитражного апелляционного суда от 12.03.2020 и постановлением Арбитражного суда Восточно-Сибирского округа от 09.09.2020, исковые требования удовлетворены. В кассационной жалобе общество «Дорожный центр внедрения ВСЖД» просит о пересмотре судебных актов, ссылаясь на неосновательное принятие судом уточнения иска, пропуск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после уточнения иска его основанием осталось ненадлежащее исполнение обязательства по оплате товара. Доказательством поставки суды в соответствии 486, 506, 516 Гражданского кодекса Российской Федерации признали накладную от 01.07.2016 № 591, оформленную в рамках договора поставки от 27.07.2012 № 176-П/2012, подписанную представителем и скрепленную печатью ответчика. Предъявление иска в пределах срока исковой давности установлено по правилам статей 196, 200, 202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«Дорожный центр внедрения ВСЖД»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