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упрощенного производства решением Арбитражного суда города Москвы от 21.11.2019 иск удовлетворен. Девятый арбитражный апелляционный суд перешел к рассмотрению дела по правилам для суда первой инстанции и в общеисковом порядке и постановлением от 16.06.2020, оставленным без изменения постановлением Арбитражного суда Московского округа от 08.09.2020, решение отменил, иск удовлетворил. В кассационной жалобе предприниматель просит об отмене судебных актов, ссылаясь на рассмотрение спора в отношении ненадлежащего истца в отсутствие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Оказания услуг на полученную по платежному поручению от 28.12.2016 № 404 сумму апелляционный суд не установил, поэтому в соответствии со статьями 395, 1102, 1107 Гражданского кодекса Российской Федерации взыскал ее в пользу общества «Строй-Древ», реквизиты которого указаны в платежном поручении. Довод об оказании услуг предприниматель не обосновал.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Блинникову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