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06.03.2020, оставленным без изменения постановлением Девятого арбитражного апелляционного суда от 20.07.2020 и постановлением Арбитражного суда Московского округа от 01.10.2020, взыскано 770 095 рублей 35 копеек задолженности. В кассационной жалобе общество «АПХ ЭКО-культура» просит о пересмотре судебных актов, ссылаясь на чрезмерный размер компенсации.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о размере компенсации за отказ от договора основаны на согласованном условии договора на участие в выставке от 28.01.2019 № 201901210028, оснований для отступления от которого суды не установили. Размер требований устанавливается судом первой инстанции и связанные с ним доводы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«АПХ ЭКО-культура»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"ХАЙВ ЭКСПО ИНТЕРНЕШНЛ" (подробнее) Ответчики: ООО "АПХ ЭКО-КУЛЬТУРА"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