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10.12.2019, оставленным без изменения постановлением Восьмого арбитражного апелляционного суда от 17.06.2020 и постановлением Арбитражного суда Западно-Сибирского округа от 23.09.2020, произведена замена предприятия на правопреемника – общество «ПО «Альтернатива»; с хозяйства в пользу общества «ПО «Альтернатива» взыскано 400 000 рублей судебных расходов на оплату услуг представителя; в удовлетворении заявления хозяйства о взыскании судебных расходов в рамках рассмотрения заявления общества «ПО «Альтернатива» о замене стороны ее правопреемником и взыскании судебных расходов отказано. В кассационной жалобе хозяйство просит о пересмотре судебных актов, ссылаясь на неосновательную замену взыскателя и чрезмерность взысканных издержек.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рассматриваемом случае замена лица произведена одновременно с присуждением судебных издержек, что соответствует судебному толкованию норм об уступке применительно к судебным издержкам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дела». Обоснованность судебных издержек проверена судом в пределах компетенции и не подлежит пересмотру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крестьянскому фермерскому хозяйству «Земледелец»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Крестьянское фермерское хозяйство "Земледелец" (подробнее) Ответчики: ОАО "ПИКЕТИНСКОЕ ХПП" (подробнее) ООО "Практикующая организация Альтернатива"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