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29.01.2020, оставленным без изменения постановлением Девятого арбитражного апелляционного суда от 11.06.2020 и постановлением Арбитражного суда Московского округа от 16.09.2020, в удовлетворении иска отказано за недоказанностью. В кассационной жалобе общество «Маст Хэв» просит об отмене судебных актов, ссылаясь на ненадлежащую оценку доказательств и подтвержденность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обстоятельства исполнения сторонами договора от 14.04.2016 и применив к ним статьи 309, 310, 779 Гражданского кодекса Российской Федерации, суды признали недоказанность оказания истцом услуг на заявленную сумму задолженности. Обстоятельства, связанные с доказыванием и оценкой доказательств, не образуют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«Маст Хэв»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