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25.12.2019, оставленным без изменения постановлением Тринадцатого арбитражного апелляционного суда от 15.06.2020 и постановлением Арбитражного суда Северо-Западного округа от 08.09.2020, в удовлетворения иска отказано. В кассационной жалобе общество «Стимул» просит отменить судебные акты вследствие несоответствия выводов доказательствам и неправильного определения юридически значимых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составляющих условия для применения ответственности, отнесено к компетенции судов, рассматривающих дело по правилам первой инстанции, не подлежащей пересмотру в порядке кассационного производства.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«Стимул»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