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Владимирской области от 04.12.2019 иск удовлетворен. Постановлением Первого арбитражного апелляционного суда от 04.06.2020, оставленным без изменения постановлением Арбитражного суда Волго-Вятского округа от 14.09.2020, решение отменено, в удовлетворении иска отказано. В кассационной жалобе общество просит об отмене судебных актов апелляционного и окружного судов, ссылаясь на неосновательное руководство приговором и принятие его в качестве доказательства. В силу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Общество ссылалось на перечисление денежных средств больнице третьим лицом в связи с обстоятельствами, расследуемыми в уголовном деле, как на одно из оснований наличия неосновательного обогащения, поэтому ссылка судов на приговор является мотивированной. К правоотношениям по возмещению третьему лицу уплаченных денежных средств больница не причастна, поэтому у судов не было оснований считать ее неосновательно обогатившейся за счет истца.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«ВладФуд»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