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28.12.2019, оставленным без изменения постановлением Тринадцатого арбитражного апелляционного суда от 14.05.2020 и постановлением Арбитражного суда Северо-Западного округа от 10.09.2020, принят отказ общества «Инкато» от иска в части взыскания убытков и производство по делу в данной части прекращено, в остальной части иска отказано. В кассационной жалобе общество «Инкато» просит отменить судебные акты в отношении отказа во взыскании неустойки, ссылаясь на противоречие их договору.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составляющих условия для применения ответственности, отнесено к компетенции суда первой инстанции, не подлежащей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«Инкато»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