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«Восток-Байкал» подало кассационную жалобу на судебные акты, принятые в порядке упрощенного производства. Частью 3 статьи 291.1 Арбитражного процессуального кодекса Российской Федерации исключена возможность обжалования в Судебную коллегию Верховного Суда Российской Федерации постановления арбитражного суда округа, которым не были отменены или изменены судебные акты, принятые в порядке упрощенного производства. Поскольку жалоба не может быть рассмотрена по существу, производство по ней подлежит прекращению применительно к пункту 1 части 1 статьи 150 Арбитражного процессуального кодекса Российской Федерации. В связи с подачей документов в электронном виде кассационная жалобы и уплаченная за ее подачу государственная пошлина настоящим определением не возвращаются. 2 Руководствуясь статьями 150,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«Восток-Байкал» на решение Арбитражного суда Омской области от 23.12.2019 по делу № А46-17907/2019, постановление Восьмого арбитражного апелляционного суда от 26.03.2020 и постановление Арбитражного суда Западно-Сибирского округа от 10.09.2020 по тому же делу прекратить.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