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16.03.2020 исковые требования удовлетворены. Определением Девятого арбитражного апелляционного суда от 29.07.2020, оставленным без изменения постановлением Арбитражного суда Московского округа от 11.09.2020, апелляционная жалоба возвращена предпринимателю в связи с пропуском срока подачи и отказом в удовлетворении ходатайства о восстановлении срока. В кассационной жалобе предприниматель просит о пересмотре судебных актов апелляционного и окружного судов, ссылаясь на неустановление апелляционным судом обстоятельств извещения его о судебном разбирательстве в суде первой инстанции.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вопросе о том, по какому адресу подлежало направлению и фактически было направлено извещение о начавшемся судебном процессе, апелляционный суд руководствовался официальными сведениями единого государственного реестра, в связи с чем признал извещение надлежащим в силу статей 121, 123 Арбитражного процессуального кодекса Российской Федерации и отсутствие объективной причины для несвоевременной подачи жалобы.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Мамедову Эльшаду Аслану-оглы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