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23.12.2019 взыскано 690 682 рубля 19 копеек по банковской гарантии. Девятый арбитражный апелляционный суд постановлением от 23.03.2020 изменил решение от 23.12.2019 и взыскал 890 682 рубля 19 копеек по банковской гарантии. Арбитражный суд Московского округа постановлением от 18.09.2020 отменил решение от 23.12.2019 и постановление Девятого арбитражного апелляционного суда от 23.03.2020 и направил дело на новое рассмотрение в Арбитражный суд города Москвы в связи с неустановлением юридически значимых обстоятельств. В кассационной жалобе банк просит об отмене постановления окружного суда, ссылаясь на неосновательное восстановление срока на обжалование судебного акта.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Оценка обстоятельств несоблюдения срока на обжалование на соответствие признакам, создающим основание для восстановления срока, является компетенцией окружного суда, не подлежащей пересмотру в кассационном порядке. Окружной суд установил, что суды первой и апелляционной инстанций не исследовали необходимые для разрешения дела обстоятельства, поэтому отменил судебные акты в пределах предусмотренных статьями 286, 287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«Транскапиталбанк»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