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Тюменской области от 23.01.2020 удовлетворено заявление конкурного управляющего должником ФИО1 об истребовании у бывшего руководителя должника ФИО2 бухгалтерской и иной документации должника, печатей, штампов, материальных и иных ценностей, согласно перечню. Впоследствии общество обратилось в Восьмой арбитражный апелляционный суд с жалобой на определение суда первой инстанции от 23.01.2020, в которой просило отменить данное определение в части обязанности передать конкурсному управляющему должника транспортное средство КАМАЗ 5490-85, VIN: &lt;***&gt;, год выпуска: 2017. Определением Восьмого арбитражного апелляционного суда от 09.07.2020, оставленным без изменения постановлением Арбитражного суда Западно-Сибирского округа от 27.08.2020, производство по апелляционной жалобе прекращено.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направить спор на новое рассмотрение в Восьмой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42 , 150 и 257 Арбитражного процессуального кодекса Российской Федерации, исходил из того, что в рамках настоящего обособленного спора общество нельзя признать лицом, которое вправе обжаловать определение суда первой инстанции, поскольку общество не является лицом, участвующем в деле о банкротстве должника, и данный судебный акт каких-либо выводов о правах и обязанностях общества не содержит, а также не затрагивает непосредственно его права и обязанности. Проверяя обоснованность прекращения производства по жалобе заявителя, суд округа не установил нарушений норм процессуального права и согласился с указанными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«Альфамобиль»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"Компания "Максима" (подробнее) Ответчики: ООО "Торговый Дом "Норд Ойл" (подробнее) Иные лица: 8 ААС (подробнее) АССОЦИАЦИЯ "Саморегулируемая Арбитражных управляющих " Южный Урал" (подробнее) МО ГИБДД РЭР и ТН АМТС УМВД России по Тюменской области (подробнее) ООО "АЛЬФАМОБИЛЬ" (подробнее) ООО "АтлантАвтоСервис" (подробнее) ООО КБ "Кетовский" (подробнее) ООО "РТ-Инвест Транспортные системы" (подробнее) ООО "ТрансрегионСтрой" (подробнее) Управление ЗАГС административного департамента Администрации Тюменского муниципального района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