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24 декабря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06.02.2020, оставленным без изменения постановлением Восемнадцатого арбитражного апелляционного суда от 01.06.2020, в удовлетворении требований отказано. Постановлением Арбитражного суда Уральского округа от 11.09.2020 указанные судебные акты оставлены без изменения. Административный орган в кассационной жалобе просит отменить состоявшиеся по делу судебные акты, считая их незаконными и необоснованными. При изучении доводов жалобы и принятых по делу судебных актов оснований для передачи жалобы для рассмотрения в судебном заседании Судебной коллегии по экономическим спорам Верховного Суда Российской Федерации не установлено. Суды пришли к выводу о недоказанности административным органом в действиях общества состава правонарушения, ответственность за совершение которого предусмотрена частью 2 статьи 14.1 Кодекса Российской Федерации об административных правонарушениях, признав, что наличие договоров на оказание услуг по охране объектов и графиков дежурств само по себе не подтверждает факта оказания услуг по охране объекта, в связи с чем, отказали в привлечении к административной ответственности. Несогласие административного органа с указанными выводами судов не может быть признано основанием для пересмотра обжалуемых судебных актов в кассационном порядке, поскольку срок давности привлечения к административной ответственности по данной категории дел на момент рассмотрения настоящей кассационной жалобы в Верховном Суде Российской Федерации истек. Исходя из смысла пункта 6 части 1 статьи 24.5 Кодекса Российской Федерации об административных правонарушениях истечение срока давности привлечения к административной ответственности является обстоятельством, исключающим производство по делу об административном правонарушении, следовательно, по истечении этого срока вопрос о привлечении к административной ответственности лица обсуждаться не может. При установленных обстоятельствах доводы жалобы не являются достаточными в целях передачи жалобы для рассмотрения в судебном заседании Судебной коллегии по экономическим спорам Верховного Суда Российской Федерации. На основании изложенного и руководствуясь статьями 291.1 , 291.6 , 291.8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Управление Росгвардии по Челябинской области (подробнее) Ответчики: ООО ЧОП "Максимум безопасности" (подробнее) Судьи дела: Першутов А.Г. (судья) Судебная практика по: Осуществление предпринимательской деятельности без регистрации или без разрешения Судебная практика по применению нормы ст. 14.1. КОАП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