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Еврейской автономной области от 05.11.2019, оставленным без изменения постановлением Шестого 2 арбитражного апелляционного суда от 19.12.2019, в удовлетворении требования отказано. Постановлением Арбитражного суда Дальневосточного округа от 26.08.2020 указанные судебные акты оставлены без изменения. Предприниматель обратилась в Верховный Суд Российской Федерации с кассационной жалобой на принятые по делу судебные акты,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по результатам проведенной проверки административным органом выявлен факт предоставления предпринимателем жилого помещения для проживания иностранному гражданину, находящемуся в Российской Федерации с нарушением установленного порядка. Частью 3 статьи 18.9 Кодекса Российской Федерации об административных правонарушениях предусмотрена административная ответственность за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Оценив представленные доказательства, руководствуясь положениями Федерального закона от 25.07.2002 № 115-ФЗ «О правовом положении иностранных граждан в Российской Федерации», Федерального закона от 15.08.1996 № 114-ФЗ «О порядке выезда из Российской Федерации и въезда в Российскую Федерацию», суды пришли к выводу о наличии в действиях предпринимателя состава административного правонарушения, предусмотренного частью 3 статьи 18.9 Кодекса Российской Федерации об административных правонарушениях. Судами установлено, что процедура и срок давности привлечения к административной ответственности соблюдены, штраф назначен в минимальном размере санкции нормы. 3 Исключительных обстоятельств, позволяющих в соответствии с частью 3.2 статьи 4.1 Кодекса Российской Федерации об административных правонарушениях снизить размер назначенного штрафа, возможности применения положений статей 2.9 и 4.1.1 Кодекса Российской Федерации об административных правонарушениях, суды не усмотрели. Доводы жалобы со ссылкой на положения статьи 4.1.1 Кодекса Российской Федерации об административных правонарушениях и о необходимости замены назначенного предпринимателю наказания в виде штрафа на предупреждение подлежат отклонению, поскольку вопрос о снижении санкций связан с оценкой доказательств по делу и входит в компетенцию судов первой и апелляционной инстанций.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в жалобе не приведено.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