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13.11.2019, оставленным без изменения постановлением Шестого 2 арбитражного апелляционного суда от 26.12.2019, в удовлетворении требования отказано. Постановлением Арбитражного суда Дальневосточного округа от 27.08.2020 указанные судебные акты оставлены без изменения. Предприниматель обратилась в Верховный Суд Российской Федерации с кассационной жалобой на принятые по делу судебные акты,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по результатам проведенной проверки административным органом выявлен факт предоставления предпринимателем жилого помещения для проживания иностранному гражданину, находящемуся в Российской Федерации с нарушением установленного порядка. Частью 3 статьи 18.9 Кодекса Российской Федерации об административных правонарушениях предусмотрена административная ответственность за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Оценив представленные доказательства, руководствуясь положениями Федерального закона от 25.07.2002 № 115-ФЗ «О правовом положении иностранных граждан в Российской Федерации», Федерального закона от 15.08.1996 № 114-ФЗ «О порядке выезда из Российской Федерации и въезда в Российскую Федерацию», суды пришли к выводу о наличии в действиях предпринимателя состава административного правонарушения, предусмотренного частью 3 статьи 18.9 Кодекса Российской Федерации об административных правонарушениях. Судами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3 Исключительных обстоятельств, позволяющих в соответствии с частью 3.2 статьи 4.1 Кодекса Российской Федерации об административных правонарушениях снизить размер назначенного штрафа, возможности применения положений статей 2.9 и 4.1.1 Кодекса Российской Федерации об административных правонарушениях, суды не усмотрели. Доводы жалобы со ссылкой на положения статьи 4.1.1 Кодекса Российской Федерации об административных правонарушениях и о необходимости замены назначенного предпринимателю наказания в виде штрафа на предупреждение подлежат отклонению, поскольку вопрос о снижении санкций связан с оценкой доказательств по делу и входит в компетенцию судов первой и апелляционной инстанций.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в жалобе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