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05.02.2020, оставленным без изменения постановлением Девятого арбитражного апелляционного суда от 22.06.2020 и постановлением Арбитражного суда Московского округа от 07.09.2020,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10.07.2019 учреждением размещено извещение о проведении аукциона в электронной форме на право заключения государственного контракта на выполнение работ, победителем аукциона признано общество. Общество 20.08.2019 подписало проект контракта, разместило на электронной площадке подписанный проект контракта, а также сканированную копию банковской гарантии от 12.08.2019 №19777-447-0410881, выданную публичным акционерным обществом банком «Финансовая Корпорация Открытие» на сумму 78 570 рублей 11 копеек. Рассмотрев банковскую гарантию, учреждение пришло к выводу, что она не соответствует требованиям Федерального закона от 05.04.2013 № 44-ФЗ «О контрактной системе в сфере закупок товаров, работ, услуг для обеспечения государственных нужд» (далее - Закон о контрактной системе), в связи с чем приняло решение об отказе в принятии гарантии в качестве обеспечения исполнения государственного контракта от 23.08.2019 № ТЦ-08-1897/19. Уведомление об отказе в принятии гарантии отражено 23.08.2019 в реестре банковских гарантий, размещенном в единой информационной системе, и в тот же день направлено в адрес общества посредством почтовой связи. В связи с непредставлением обеспечения исполнения контракта в установленный срок, общество признано уклонившимся от заключения контракта и соответствующие сведения направлены в антимонопольный орган для решения вопроса о включении сведений о заявителе в реестр недобросовестных поставщиков. Решением управления от 17.10.2019 по делу № 077/10/19-11920/2019 сведения, представленные в отношении общества, включены в реестр недобросовестных поставщиков. Не согласившись с решением управления, заявитель обратился в арбитражный суд. Оценив представленные в материалы дела доказательства, руководствуясь положениями Закона о контрактной системе, суды трех инстанций пришли к 3 выводу о том, что решение управления соответствует положениям действующего законодательства и не нарушает права и законные интересы заявителя. Судебные инстанции исходили из доказанности уклонения общества от заключения государственного контракта ввиду не исполнения обязанности по представлению надлежащей банковской гарантии. Суды указали, что представленная банковская гарантия не соответствовала требованиям Закона о контрактной системе и закупочной документации, ограничивала права заказчика на бесспорное получение денежных средств, а также на выбор способа направления требования. Нарушений заказчиком процедуры проведения аукциона, вопреки доводам общества, судами не установлено.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Частная охранная организация «Мир Безопасности»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