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24.06.2020 заявленное требование удовлетворено. Постановлением Двенадцатого арбитражного апелляционного суда от 04.09.2020, оставленным без изменения постановлением Арбитражного суда Поволжского округа от 19.11.2020, решение суда первой инстанции отменено, в удовлетворении заявления отказано. 2 ООО «Трансгазсервис» обратилось с кассационной жалобой в Верховный Суд Российской Федерации, в которой указывает на нарушение вынесенными по настоящему делу судебными актами его прав и законных интересов.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Арбитражный суд кассационной инстанции при поступлении кассационной жалобы в силу статьи 273 Арбитражного процессуального кодекса Российской Федерации обязан проверить, имеет ли лицо, подавшее кассационную жалобу на судебные акты, право на кассационное обжалование этих судебных актов. Заявитель жалобы не был привлечен к участию в деле, при этом из содержащихся в кассационной жалобе доводов и вынесенных по делу судебных актов не следует, что судебные акты приняты непосредственно о каких-либо правах или об обязанностях ООО «Трансгазсервис», тем самым не создают препятствий для реализации его субъективных прав и не влекут никаких гражданско-правовых последствий. Таким образом, на ООО «Трансгазсервис» не распространяется действие статьи 42 Арбитражного процессуального кодекса Российской Федерации и оно не имеет права на подачу кассационной жалобы. 3 Наличие заинтересованности в исходе дела и несогласие с выводами судов, положенных в основу принятых судебных актов, сами по себе основанием для возникновения права на обжалование не являются. С учетом изложенного оснований для передачи жалобы в Судебную коллегию по экономическим спорам Верховного Суда Российской Федерации не имеется.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ООО «Трансгазсервис» о приостановлении исполнения судебных актов остается без рассмотрения. Руководствуясь статьями 291.1,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«Трансгазсервис»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