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28.02.2020, оставленным без изменения постановлением Шестнадцатого арбитражного апелляционного суда от 25.06.2020, в удовлетворении заявленного требования отказано. Постановлением Арбитражного суда Северо-Кавказского округа от 03.09.2020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обязательных требований к продукции, что создало угрозу причинения вреда жизни или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Федеральным законом от 27.12.2002 № 184-ФЗ «О техническом регулировании»,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обществом при осуществлении деятельности по производству мяса применялись недопустимые препараты. Судами установлено, что процедура и срок давности привлечения к административной ответственности соблюдены.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"СТАВРОПОЛЬСКИЙ БРОЙЛЕР" (подробнее) Ответчики: УПРАВЛЕНИЕ ФЕДЕРАЛЬНОЙ СЛУЖБЫ ПО ВЕТЕРИНАРНОМУ И ФИТОСАНИТАРНОМУ НАДЗОРУ ПО СТАВРОПОЛЬСКОМУ КРАЮ И КАРАЧАЕВО-ЧЕРКЕССКОЙ РЕСПУБЛИКЕ (подробнее) Иные лица: Управление Россельхознадзора по Ставропольскому краю и КЧР (подробнее) ФГБУ "ВГНКИ" (подробнее) ФГБУ "ВСЕРОССИЙСКИЙ ГОСУДАРСТВЕННЫЙ ЦЕНТР КАЧЕСТВА И СТАНДАРТИЗАЦИИ ЛЕКАРСТВЕННЫХ СРЕДСТВ ДЛЯ ЖИВОТНЫХ И КОРМОВ"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