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26.02.2020, оставленным без изменения постановлением Семнадцатого арбитражного апелляционного суда от 20.05.2020, в иске отказано. Постановлением Арбитражного суда Уральского округа от 10.09.2020 указанные судебные акты оставлены без изменения. 2 Компания обратилась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Суды, оценив представленные доказательства, руководствуясь положениями статей 15, 393 Гражданского кодекса Российской Федерации, Федерального закона от 18.07.2011 № 223-ФЗ «О закупках товаров, работ, услуг отдельными видами юридических лиц», отказали в иске, признав недоказанным заявленную истцом сумму последствиям, которые наступили в результате отказа ответчика от заключения договора, и не установив недобросовестного поведения ответчика.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не согласиться с которыми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