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23.03.2020, оставленным без изменения постановлением Третьего арбитражного апелляционного суда от 29.06.2020, в удовлетворении заявленного требования отказано. Постановлением Арбитражного суда Восточно-Сибирского округа от 23.09.2020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обязательных требований к продукции, что создало угрозу причинения вреда жизни или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доказательства, руководствуясь положениями Технического регламента Таможенного Союза 021/2011 «О безопасности пищевой продукции», Федерального закона от 02.01.2000 № 29-ФЗ «О качестве и безопасности пищевых продуктов», суды пришли к выводу о доказанности административным органом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правонарушениях, признав, что обществом допускается оборот пищевой продукции с истекшим сроком годности, без информации на упаковке о дате изготовления, а также не соответствующей предъявляемым к ней требованиям. Судами установлено, что процедура и срок давности привлечения к административной ответственности соблюдены.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"Континент" (подробнее) Ответчики: Управление Федеральной службы по надзору в сфере защиты прав потребителей и благополучия человека по Красноярскому краю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