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11.12.2019 в удовлетворении иска отказано. Постановлением Шестого арбитражного апелляционного суда от 11.06.2020 решение суда первой инстанции отменено, иск удовлетворен в 2 части взыскания с ответчика пени в размере 6 113 116,55 рублей, в удовлетворении остальной части иска отказано. Постановлением Арбитражного суда Дальневосточного округа от 03.09.2020 постановление суда апелляционной инстанции оставлено без изменения. Ответчик обратился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Отменяя решение суда первой инстанции и удовлетворяя иск частично, суд апелляционной инстанции руководствовался положениями статьи 34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статей 329, 333, 401, 758, 763 Гражданского кодекса Российской Федерации, и исходил из установленных обстоятельств, свидетельствующих о нарушении ответчиком (подрядчиком) сроков выполнения этапов работ, в связи с чем признал доказанным наличие оснований для взыскания пени, скорректировав их размер с учетом даты сдачи работ. Доводы кассационной жалобы, в том числе, о нарушении судом апелляционной инстанции норм процессуального права при принятии дополнительных доказательств были предметом исследования суда кассационной инстанций и получили исчерпывающую правовую оценку с учетом отсутствия доказательств, свидетельствующих о том, что именно приобщение дополнительных доказательств привело к удовлетворению иска. Указанные доводы не свидетельствуют о существенных нарушениях судами норм материального права и (или) норм процессуального права, 3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