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14.12.2020 направил в Верховный Суд Российской Федерации кассационную жалобу и одновременно заявил ходатайство о восстановлении пропущенного срока, ссылаясь на устранение недостатков в оформлении первоначально своевременно поданной 13.11.2020 кассационной жалобы, возвращенной без рассмотрения на основании пункта 1 части 1 статьи 291.5 Арбитражного процессуального кодекса Российской Федерации.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При обжаловании судебного акта надлежащее оформление и подача жалобы возложены на заинтересованное лицо, которое несет последствия несовершения положенных действий в срок. Причин, которые бы помешали при первоначальном обращении с кассационной жалобой укомплектовать ее необходимыми приложениями, заявитель не приводит. Произвольное восстановление процессуального срока на обжалование судебных актов нарушало бы принцип равноправия сторон, установленный статьей 8 Арбитражного процессуального кодекса Российской Федерации. В связи с изложенным ходатайство о восстановлении пропущенного процессуального срока следует оставить без удовлетворения в связи с необоснованностью уважительных причин пропуска срока, а кассационную жалобу - возвратить заявителю.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Судебного департамента в Республике Тыва о восстановлении пропущенного срока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