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страховое акционерное общество «ВСК» обратилось в Арбитражный суд Ростовской области с иском о взыскании с общества с ограниченной ответственностью «Магеллан» 6 811 945 рублей 34 копеек ущерба в порядке суброгации. К участию в деле в качестве третьих лиц, не заявляющих самостоятельных требований относительно предмета спора, привлечены публичное акционерное общество «Страховая компания «Росгосстрах» и общество с ограниченной ответственностью «МВМ». Решением Арбитражного суда Ростовской области от 15.10.2019 производство по делу в части взыскания 340 598 рублей прекращено; в удовлетворении иска в остальной части отказано. Постановлением Пятнадцатого арбитражного апелляционного суда от 27.02.2020 решение суда первой инстанции оставлено без изменения. Арбитражный суд Северо-Кавказского округа постановлением от 07.09.2020 указанные судебные акты оставил без изменения. 2 Страховое акционерное общество «ВСК»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судебных актов, принятых по делу № А53-30057/2018,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