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Архипова Анна Валерьевна обратилась в суд с ходатайством об обязании фонда перечислять ежемесячную пенсию по инвалидности должника на его счёт по указанным в заявлении реквизитам. Определением Арбитражного суда Белгородской области от 07.11.2019, оставленным без изменения постановлениями Девятнадцатого арбитражного апелляционного суда от 20.01.2020 и Арбитражного суда Центрального округа от 28.08.2020,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133, 213.25 Федерального закона от 26.10.2002 № 127-ФЗ «О несостоятельности (банкротстве)», пунктами 12 и 13 статьи 21 Федерального закона от 28.12.2013 № 400-ФЗ «О страховых пенсиях», исходили из того, что требование финансового управляющего об обязании фонда перечислять начисленные должнику пенсионные выплаты само по себе не означает включение их в конкурсную массу в полном объёме, подразумевает последующее распределение финансовым управляющим поступающих пенсионных выплат с учётом имеющихся ограничений, в связи с чем носит законный характер, не влечёт нарушения конституционных прав должника и не противоречит нормам действующего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– Управлению Пенсионного фонда Российской Федерации в городе Липецке Липецкой области (межрайонному)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