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11.03.2020 оспариваемое постановление изменено в части назначенного наказания, размер административного штрафа снижен с 300 000 рублей до 150 000 рублей, в остальной части в удовлетворении требований отказано. 2 Постановлением Двадцать первого арбитражного апелляционного суда от 16.06.2020 решение суда первой инстанции отменено, производство по делу в части требования о прекращении производства по делу об административном правонарушении прекращено, в остальной части заявленные требования удовлетворены. Постановлением Арбитражного суда Центрального округа от 03.09.2020 постановление суда апелляционной инстанции оставлено без изменения. Административный орган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 и удовлетворяя требование, суд апелляционной инстанции руководствовался положениями Закона Российской Федерации от 21.02.1992 № 2395-1 «О недрах», и исходил из недоказанности административным органом в действиях товарищества состава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правонарушениях, при установленных обстоятельствах представления корректирующего отчета за спорный период, без учета которого вынесено оспариваемое постановление.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недоказанности административным органом превышения объема забора воды из скважины, не согласиться с которой оснований не имеется.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