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17.12.2020 № 306-ЭС20-19437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При изготовлении данного определения допущены опечатки: в его вводной и резолютивной частях неверно указано наименование юридического лица заявителя кассационной жалобы – общества с ограниченной ответственностью «ПермьЛесТранс». В соответствии со статьей 184, частью 3 статьи 179 Арбитражного процессуального кодекса Российской Федерации эти опечатки подлежат исправлению. Руководствуясь статьями 179,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внести исправления в текст определения Верховного Суда Российской Федерации от 17.12.2020 № 306-ЭС20-19437. Вместо «ПермьТрансЛес» читать «ПермьЛесТранс».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