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Тюменской области от 31.01.2020 заявленные требования удовлетворены. 2 Постановлением Восьмого арбитражного апелляционного суда от 04.06.2020 решение суда первой инстанции отменено, в удовлетворении заявленных требований отказано. Постановлением Арбитражного суда Западно-Сибирского округа от 08.09.2020 постановление суда апелляционной инстанции оставлено без изменения. Общество просит отменить обжалуемые судебные акты, считая их принятыми с существенными нарушениями норм материального и процессуального права, которые повлияли на исход дела.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Как следует из судебных актов, административным органом выявлен факт ненадлежащего предоставления обществом коммунальной услуги по вывозу твердых коммунальных отходов. По данному факту в отношении общества вынесено постановление о привлечении к ответственности, предусмотренной статьей 7.23 Кодекса Российской Федерации об административных правонарушениях, и выдано предписание об устранении нарушений. 3 Статьей 7.23 Кодекса Российской Федерации об административных правонарушениях установлена ответственность за нарушение нормативного уровня или режима обеспечения населения коммунальными услугами. Руководствуясь положениями Федерального закона от 24.06.1998 № 89-ФЗ «Об отходах производства и потребления», Жилищного кодекса Российской Федерации, Правил обращения с твердыми коммунальными отходами, утвержденных Постановлением Правительства Российской Федерации от 12.11.2016 № 1156,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постановлением от 06.05.2011 № 354, суд апелляционной инстанции с учетом установленных обстоятельств нарушения режима обеспечения населения коммунальной услугой пришел к выводу о доказанности административным органом в действиях общества состава административного правонарушения, ответственность за которое предусмотрена статьей 7.23 Кодекса Российской Федерации об административных правонарушениях. При этом суд признал, что общество как исполнитель коммунальной услуги обязано обеспечить ее предоставление с целью создания благоприятного проживания граждан, в том числе с целью их санитарно-эпидемиологического благополучия. Доказательств, подтверждающих факт оказания услуг надлежащим образом, не установлено. Оснований для иных выводов исходя из доводов жалобы не имеется. Процедура и срок давности привлечения к административной ответственности соблюдены, административное наказание в виде штрафа назначено в минимальном размере санкции нормы, оснований для признания правонарушения малозначительным не выявлено. Приведенные в жалобе доводы были предметом исследования судов апелляционной и кассационной инстанций и получили исчерпывающую правовую оценку в обжалуемых судебных актах применительно к 4 установленным обстоятельствам,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