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26.11.2019, оставленным без изменения постановлением Двадцать первого арбитражного апелляционного суда от 02.06.2020, в удовлетворении требования отказано. Постановлением Арбитражного суда Центрального округа от 15.09.2020 указанные судебные акты оставлены без изменения. Предприятие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ненадлежащем содержании предприятием как управляющей компанией систем внутридомового газового оборудования, поскольку не обеспечены техническое обслуживание и ремонт внутридомового газового оборудования многоквартирных домов.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161, 162 Жилищного кодекса Российской Федерации, Правил содержания общего имущества в многоквартирном доме, утвержденных постановлением Правительства Российской Федерации от 13.08.2006 № 491, Правил пользования газом в части обеспечения безопасности при использовании и содержании внутридомового и внутриквартирного газового 3 оборудования при предоставлении коммунальной услуги по газоснабжению, утвержденных постановлением Правительства Российской Федерации от 14.05.2013 № 410,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суды пришли к выводу о наличии в действиях предприятия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правонарушениях. Вина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Доводы жалобы были предметом исследования судов и получили исчерпывающую правовую оценку применительно к вмененному правонарушению,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