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Немеров В.Г. обратился в суд с заявлением о включении требования в размере 3 384 854 рублей 62 копеек в реестр требований кредиторов должника с отдельным учётом требования в размере 2 793 628 рублей по уплате неустойки. Определением Арбитражного суда Новосибирской области от 11.02.2020, оставленным без изменения постановлениями Седьмого арбитражного апелляционного суда от 03.06.2020 и Арбитражного суда Западно-Сибирского округа от 19.08.2020,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недоказанности факта предоставления должнику займа заявителем, финансовой возможности для его предоставления в заявленном размере и расходования заёмных денежных средств, в связи с чем не установили правовых оснований для включения заявленного требования в реестр требований кредиторов должника.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Немерову Виктору Германовичу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