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23.01.2020, оставленным без изменения постановлением Девятого арбитражного апелляционного суда от 10.06.2020 и постановлением Арбитражного суда Московского округа от 14.09.2020, исковые требования удовлетворены. В кассационной жалобе, поданной в Верховный Суд Российской Федерации, общество, ссылаясь на несоответствие выводов судов фактическим обстоятельствам дела,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принадлежности обществу на праве собственности нежилого помещения в здании, управление которым осуществляет истец, и неоплаты им задолженности за оказанные в спорный период услуги по содержанию и ремонту общего имущества здания, учитывая, что решение общего собрания собственников нежилых помещений, которым установлен размер платы за услуги компании, в предусмотренном законом порядке не оспорено, руководствуясь статьями 6, 210, 249, 290, 395 Гражданского кодекса Российской Федерации, статьями 29, 44, 154, 158 Жилищного кодекса Российской Федерации, разъяснениями, приведенными в постановлении Пленума Верховного Суда Российской Федерации от 23.06.20115 № 25 «О применении судами некоторых положений раздела I части первой Гражданского кодекса Российской Федерации», суды первой и апелляционной инстанции пришли к выводу о наличии оснований для удовлетворения исковых требований, с чем впоследствии согласился суд округа. Доводы кассационной жалобы не опровергают выводы судов, по существу направлены на переоценку установленных фактических обстоятельств дела и не подтверждают существенных нарушений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«Объединенные Торговые Центры Регионов»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