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03.03.2020 исковые требования удовлетворены. Определением Девятого арбитражного апелляционного суда от 31.07.2020, оставленным без изменения постановлением Арбитражного суда Московского округа от 01.10.2020, апелляционная жалоба возвращена ответчику в связи с пропуском срока подачи и отказом в удовлетворении ходатайства о восстановлении срока. В кассационной жалобе общество «Неруд-Транс» просит о пересмотре судебных актов в отношении возвращения апелляционной жалобы, ссылаясь на отсутствие основания для признания ответчика надлежаще извещенным о рассмотрении дела судом первой инстанции в связи с неустановлением причины возврата почтового отправления с определением суда и неосновательный вывод о сроке снятия ограничений в связи с эпидемиологической ситуацией.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 о том, что общество «Неруд-Транс» надлежаще извещено о рассмотрении дела судом первой инстанции основан на направлении обществу судебной корреспонденции по юридическому адресу и возврате ее по причине неполучения обществом поступающей корреспонденции, подтвержденной официальными сведениями Почты России и аналогичными действиями в отношении претензии истца. Признание за заявителем несения риска, связанного с неполучением судебной корреспонденции, соответствует статьям 121 , 123 Арбитражного процессуального кодекса Российской Федерации. Утрата возможности апелляционного обжалования решения в связи с отсутствием основания для восстановления срока является следствием поведения общества. В ситуации использования электронной формы подачи документов довод заявителя о влиянии на пропуск срока ограничительных мер при установленной иной причине несвоевременной подачи жалобы правомерно отклонен апелляционным судом.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«Неруд-Транс»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"БАЛТМЕТРОСТРОЙ" (подробнее) ООО к/у "Балтметрострой" Демб П.Э. (подробнее) Ответчики: ООО "НЕРУД-ТРАНС"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